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486"/>
      </w:tblGrid>
      <w:tr>
        <w:trPr/>
        <w:tc>
          <w:tcPr>
            <w:tcW w:w="10486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6"/>
            </w:tblGrid>
            <w:tr>
              <w:trPr>
                <w:trHeight w:val="262" w:hRule="atLeast"/>
              </w:trPr>
              <w:tc>
                <w:tcPr>
                  <w:tcW w:w="10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8"/>
                    </w:rPr>
                    <w:t xml:space="preserve">Результаты регионального мониторинга обеспечения объективности оценочных процедур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4"/>
                    </w:rPr>
                    <w:t xml:space="preserve">150111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4"/>
                    </w:rPr>
                    <w:t xml:space="preserve"> -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4"/>
                    </w:rPr>
                    <w:t xml:space="preserve">МБОУ СОШ поселка Ребристый</w:t>
                  </w:r>
                </w:p>
              </w:tc>
            </w:tr>
            <w:tr>
              <w:trPr>
                <w:trHeight w:val="4872" w:hRule="atLeast"/>
              </w:trPr>
              <w:tc>
                <w:tcPr>
                  <w:tcW w:w="10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86"/>
                  </w:tblGrid>
                  <w:tr>
                    <w:trPr>
                      <w:trHeight w:val="4872" w:hRule="atLeast"/>
                    </w:trPr>
                    <w:tc>
                      <w:tcPr>
                        <w:tcW w:w="10486" w:type="dxa"/>
                        <w:tcBorders>
                          <w:top w:val="nil" w:color="D3D3D3" w:sz="7"/>
                          <w:left w:val="nil" w:color="D3D3D3" w:sz="7"/>
                          <w:bottom w:val="nil" w:color="D3D3D3" w:sz="7"/>
                          <w:right w:val="nil" w:color="D3D3D3" w:sz="7"/>
                        </w:tcBorders>
                        <w:shd w:val="clear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6659025" cy="3094257"/>
                              <wp:docPr id="0" name="img2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59025" cy="309425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922" w:hRule="atLeast"/>
              </w:trPr>
              <w:tc>
                <w:tcPr>
                  <w:tcW w:w="10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21"/>
                    <w:gridCol w:w="4826"/>
                    <w:gridCol w:w="2456"/>
                    <w:gridCol w:w="2081"/>
                  </w:tblGrid>
                  <w:tr>
                    <w:trPr>
                      <w:trHeight w:val="1004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№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Показатель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Выраженность показателя по региону, %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Выраженность показателя в МСУ, %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приказов об утверждении сроков, ответственных, порядка, регламентов проведения независимых оценочных процедур (ВПР, ОГЭ, ЕГЭ и олимпиад школьников)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67,6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приказа (или иного документа) об обеспечении объективности процедур оценки качества образования и олимпиад школьников, предусматривающего предварительное коллегиальное обсуждение подходов к оцениванию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66,77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принятых прозрачных критериев внутришкольного и итогового оценивания в образовательной организации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83,54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системы подготовки общественных наблюдателей за процедурами оценки качества образования и олимпиад школьников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57,71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графика выходов общественных наблюдателей на наблюдение за проведением процедуры оценки качества образования и олимпиад школьников с указанием сроков, образовательных организаций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76,15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Обеспечение видеонаблюдения за проведением процедуры оценки качества образования и олимпиад школьников и проверки работ участников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77,71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Отсутствие ситуации конфликта интересов в отношении учителей и общественных наблюдателей из числа родителей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31,46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информационной (аналитической) справки о результатах обеспечения в образовательных организациях объективности проведения процедур оценки качества образования и олимпиад школьников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74,69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Проверка всероссийских проверочных работ и олимпиад школьников осуществляется комиссией образовательной организации, состоящей из педагогов, не работающих в классе, работы которого проверяются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75,1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информационной (аналитической) справки о результатах процедур оценки качества образования и олимпиад школьников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86,67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плана мероприятий по повышению объективности оценки качества образования и олимпиад школьников в образовательной организации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84,06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самостоятельно разработанных процедур общественной экспертизы качества образования в образовательной организации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46,67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Систематическая трансляция эффективного административного и педагогического опыта на другие образовательные организации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52,4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Наличие повышения объективности оценивания результатов независимых процедур оценки качества образования и олимпиад школьников (глубина 3 года)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51,46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Реализация программ помощи учителям, имеющим профессиональные проблемы и дефициты в части оценивания результатов обучающихся и олимпиад школьников (повышение квалификации, внутришкольное обучение и самообразование, другое)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77,29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12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482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Проведение учителями и методическими объединениями аналитической и экспертной работы с результатами процедур оценки качества образования и олимпиад школьников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77,08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color="D3D3D3" w:sz="7"/>
                          <w:left w:val="single" w:color="D3D3D3" w:sz="7"/>
                          <w:bottom w:val="single" w:color="D3D3D3" w:sz="7"/>
                          <w:right w:val="single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100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155" w:hRule="atLeast"/>
        </w:trPr>
        <w:tc>
          <w:tcPr>
            <w:tcW w:w="1048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11905" w:h="16837"/>
      <w:pgMar w:top="1133" w:right="566" w:bottom="1133" w:left="566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image" Target="/word/media/img2.png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Региональный мониторинг обеспечения объективности оценочных процедур</dc:title>
</cp:coreProperties>
</file>