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0486"/>
      </w:tblGrid>
      <w:tr>
        <w:trPr/>
        <w:tc>
          <w:tcPr>
            <w:tcW w:w="10486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486"/>
            </w:tblGrid>
            <w:tr>
              <w:trPr>
                <w:trHeight w:val="262" w:hRule="atLeast"/>
              </w:trPr>
              <w:tc>
                <w:tcPr>
                  <w:tcW w:w="1048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8"/>
                    </w:rPr>
                    <w:t xml:space="preserve">Результаты регионального мониторинга обеспечения объективности оценочных процедур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1048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4"/>
                    </w:rPr>
                    <w:t xml:space="preserve">150111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4"/>
                    </w:rPr>
                    <w:t xml:space="preserve"> - </w:t>
                  </w:r>
                  <w:r>
                    <w:rPr>
                      <w:rFonts w:ascii="Times New Roman" w:hAnsi="Times New Roman" w:eastAsia="Times New Roman"/>
                      <w:b/>
                      <w:color w:val="000000"/>
                      <w:sz w:val="24"/>
                    </w:rPr>
                    <w:t xml:space="preserve">МБОУ СОШ поселка Ребристый</w:t>
                  </w:r>
                </w:p>
              </w:tc>
            </w:tr>
            <w:tr>
              <w:trPr>
                <w:trHeight w:val="4872" w:hRule="atLeast"/>
              </w:trPr>
              <w:tc>
                <w:tcPr>
                  <w:tcW w:w="1048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0486"/>
                  </w:tblGrid>
                  <w:tr>
                    <w:trPr>
                      <w:trHeight w:val="4872" w:hRule="atLeast"/>
                    </w:trPr>
                    <w:tc>
                      <w:tcPr>
                        <w:tcW w:w="10486" w:type="dxa"/>
                        <w:tcBorders>
                          <w:top w:val="nil" w:color="D3D3D3" w:sz="7"/>
                          <w:left w:val="nil" w:color="D3D3D3" w:sz="7"/>
                          <w:bottom w:val="nil" w:color="D3D3D3" w:sz="7"/>
                          <w:right w:val="nil" w:color="D3D3D3" w:sz="7"/>
                        </w:tcBorders>
                        <w:shd w:val="clear" w:fill="FFFFFF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</w:tcPr>
                      <w:p>
                        <w:pPr>
                          <w:spacing w:after="0" w:line="240" w:lineRule="auto"/>
                        </w:pPr>
                        <w:r w:rsidRPr="" w:rsidDel="" w:rsidR="">
                          <w:drawing>
                            <wp:inline>
                              <wp:extent cx="6659025" cy="3094257"/>
                              <wp:docPr id="0" name="img2.png"/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img2.png"/>
                                      <pic:cNvPicPr/>
                                    </pic:nvPicPr>
                                    <pic:blipFill>
                                      <a:blip r:embed="rId5" cstate="print"/>
                                      <a:stretch>
                                        <a:fillRect r="0" b="0"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6659025" cy="309425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7922" w:hRule="atLeast"/>
              </w:trPr>
              <w:tc>
                <w:tcPr>
                  <w:tcW w:w="10486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Borders>
                      <w:top w:val="nil" w:color="000000" w:sz="7"/>
                      <w:left w:val="nil" w:color="000000" w:sz="7"/>
                      <w:bottom w:val="nil" w:color="000000" w:sz="7"/>
                      <w:right w:val="nil" w:color="000000" w:sz="7"/>
                    </w:tblBorders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121"/>
                    <w:gridCol w:w="4826"/>
                    <w:gridCol w:w="2456"/>
                    <w:gridCol w:w="2081"/>
                  </w:tblGrid>
                  <w:tr>
                    <w:trPr>
                      <w:trHeight w:val="1004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4"/>
                          </w:rPr>
                          <w:t xml:space="preserve">№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4"/>
                          </w:rPr>
                          <w:t xml:space="preserve">Показатель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4"/>
                          </w:rPr>
                          <w:t xml:space="preserve">Выраженность показателя по региону, %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b/>
                            <w:color w:val="000000"/>
                            <w:sz w:val="24"/>
                          </w:rPr>
                          <w:t xml:space="preserve">Выраженность показателя в МСУ, %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приказов об утверждении сроков, ответственных, порядка, регламентов проведения независимых оценочных процедур (ВПР, ОГЭ, ЕГЭ и олимпиад школьников)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67,6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приказа (или иного документа) об обеспечении объективности процедур оценки качества образования и олимпиад школьников, предусматривающего предварительное коллегиальное обсуждение подходов к оцениванию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66,77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принятых прозрачных критериев внутришкольного и итогового оценивания в образовательной организации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83,54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системы подготовки общественных наблюдателей за процедурами оценки качества образования и олимпиад школьников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57,71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графика выходов общественных наблюдателей на наблюдение за проведением процедуры оценки качества образования и олимпиад школьников с указанием сроков, образовательных организаций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76,15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Обеспечение видеонаблюдения за проведением процедуры оценки качества образования и олимпиад школьников и проверки работ участников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77,71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Отсутствие ситуации конфликта интересов в отношении учителей и общественных наблюдателей из числа родителей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31,46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информационной (аналитической) справки о результатах обеспечения в образовательных организациях объективности проведения процедур оценки качества образования и олимпиад школьников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74,69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Проверка всероссийских проверочных работ и олимпиад школьников осуществляется комиссией образовательной организации, состоящей из педагогов, не работающих в классе, работы которого проверяются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75,1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информационной (аналитической) справки о результатах процедур оценки качества образования и олимпиад школьников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86,67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плана мероприятий по повышению объективности оценки качества образования и олимпиад школьников в образовательной организации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84,06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самостоятельно разработанных процедур общественной экспертизы качества образования в образовательной организации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46,67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Систематическая трансляция эффективного административного и педагогического опыта на другие образовательные организации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52,4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Наличие повышения объективности оценивания результатов независимых процедур оценки качества образования и олимпиад школьников (глубина 3 года)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51,46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Реализация программ помощи учителям, имеющим профессиональные проблемы и дефициты в части оценивания результатов обучающихся и олимпиад школьников (повышение квалификации, внутришкольное обучение и самообразование, другое)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77,29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  <w:tr>
                    <w:trPr>
                      <w:trHeight w:val="349" w:hRule="atLeast"/>
                    </w:trPr>
                    <w:tc>
                      <w:tcPr>
                        <w:tcW w:w="112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482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left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Проведение учителями и методическими объединениями аналитической и экспертной работы с результатами процедур оценки качества образования и олимпиад школьников</w:t>
                        </w:r>
                      </w:p>
                    </w:tc>
                    <w:tc>
                      <w:tcPr>
                        <w:tcW w:w="2456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77,08</w:t>
                        </w:r>
                      </w:p>
                    </w:tc>
                    <w:tc>
                      <w:tcPr>
                        <w:tcW w:w="2081" w:type="dxa"/>
                        <w:tcBorders>
                          <w:top w:val="single" w:color="D3D3D3" w:sz="7"/>
                          <w:left w:val="single" w:color="D3D3D3" w:sz="7"/>
                          <w:bottom w:val="single" w:color="D3D3D3" w:sz="7"/>
                          <w:right w:val="single" w:color="D3D3D3" w:sz="7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Times New Roman" w:hAnsi="Times New Roman" w:eastAsia="Times New Roman"/>
                            <w:color w:val="000000"/>
                            <w:sz w:val="24"/>
                          </w:rPr>
                          <w:t xml:space="preserve">100</w:t>
                        </w: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</w:tr>
      <w:tr>
        <w:trPr>
          <w:trHeight w:val="155" w:hRule="atLeast"/>
        </w:trPr>
        <w:tc>
          <w:tcPr>
            <w:tcW w:w="10486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pgSz w:w="11905" w:h="16837"/>
      <w:pgMar w:top="1133" w:right="566" w:bottom="1133" w:left="566" w:header="" w:footer="" w:gutter=""/>
    </w:sectPr>
  </w:body>
</w:document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image" Target="/word/media/img2.png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Региональный мониторинг обеспечения объективности оценочных процедур</dc:title>
</cp:coreProperties>
</file>